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94721D">
        <w:rPr>
          <w:sz w:val="28"/>
          <w:szCs w:val="28"/>
        </w:rPr>
        <w:t>Как организовать оценку профессиональных рисков,</w:t>
      </w:r>
      <w:r w:rsidR="006E4179">
        <w:rPr>
          <w:sz w:val="28"/>
          <w:szCs w:val="28"/>
        </w:rPr>
        <w:t xml:space="preserve"> </w:t>
      </w:r>
      <w:r w:rsidR="0094721D">
        <w:rPr>
          <w:sz w:val="28"/>
          <w:szCs w:val="28"/>
        </w:rPr>
        <w:t>чтобы процедура была рабочей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30</w:t>
      </w:r>
      <w:r w:rsidR="00EC55EE">
        <w:rPr>
          <w:sz w:val="28"/>
          <w:szCs w:val="28"/>
        </w:rPr>
        <w:t xml:space="preserve"> января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E8D7-1155-4E1F-BBA3-F5BC73CA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103</cp:revision>
  <dcterms:created xsi:type="dcterms:W3CDTF">2020-03-11T05:14:00Z</dcterms:created>
  <dcterms:modified xsi:type="dcterms:W3CDTF">2025-01-27T03:17:00Z</dcterms:modified>
</cp:coreProperties>
</file>